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51BD" w14:textId="77777777" w:rsidR="00B14389" w:rsidRPr="00F27F2E" w:rsidRDefault="00B14389" w:rsidP="00B14389">
      <w:pPr>
        <w:tabs>
          <w:tab w:val="right" w:pos="11057"/>
        </w:tabs>
        <w:spacing w:after="0" w:line="240" w:lineRule="auto"/>
        <w:jc w:val="center"/>
        <w:rPr>
          <w:rFonts w:ascii="Arial" w:eastAsia="Arial" w:hAnsi="Arial" w:cs="Arial"/>
          <w:b/>
          <w:color w:val="1F4E79" w:themeColor="accent1" w:themeShade="80"/>
          <w:lang w:eastAsia="es-CO"/>
        </w:rPr>
      </w:pPr>
      <w:r w:rsidRPr="00F27F2E">
        <w:rPr>
          <w:rFonts w:ascii="Arial" w:eastAsia="Arial" w:hAnsi="Arial" w:cs="Arial"/>
          <w:b/>
          <w:color w:val="1F4E79" w:themeColor="accent1" w:themeShade="80"/>
          <w:lang w:eastAsia="es-CO"/>
        </w:rPr>
        <w:t>PARTES</w:t>
      </w:r>
    </w:p>
    <w:p w14:paraId="065FA950" w14:textId="77777777" w:rsidR="00B14389" w:rsidRPr="00F27F2E" w:rsidRDefault="00B14389" w:rsidP="00B14389">
      <w:pPr>
        <w:tabs>
          <w:tab w:val="right" w:pos="11057"/>
        </w:tabs>
        <w:spacing w:after="0" w:line="240" w:lineRule="auto"/>
        <w:jc w:val="both"/>
        <w:rPr>
          <w:rFonts w:ascii="Arial" w:eastAsia="Arial" w:hAnsi="Arial" w:cs="Arial"/>
          <w:color w:val="1F4E79" w:themeColor="accent1" w:themeShade="80"/>
          <w:lang w:eastAsia="es-CO"/>
        </w:rPr>
      </w:pPr>
    </w:p>
    <w:p w14:paraId="55C0D94E" w14:textId="77777777" w:rsidR="00B14389" w:rsidRPr="00F27F2E" w:rsidRDefault="00B14389" w:rsidP="00B14389">
      <w:pPr>
        <w:tabs>
          <w:tab w:val="right" w:pos="11057"/>
        </w:tabs>
        <w:spacing w:after="0" w:line="240" w:lineRule="auto"/>
        <w:jc w:val="both"/>
        <w:rPr>
          <w:rFonts w:ascii="Arial" w:eastAsia="Arial" w:hAnsi="Arial" w:cs="Arial"/>
          <w:color w:val="1F4E79" w:themeColor="accent1" w:themeShade="80"/>
          <w:lang w:eastAsia="es-CO"/>
        </w:rPr>
      </w:pPr>
    </w:p>
    <w:tbl>
      <w:tblPr>
        <w:tblStyle w:val="Tablaconcuadrcula1"/>
        <w:tblW w:w="10348" w:type="dxa"/>
        <w:tblInd w:w="-5" w:type="dxa"/>
        <w:tblBorders>
          <w:top w:val="dotted" w:sz="4" w:space="0" w:color="003EA3"/>
          <w:left w:val="dotted" w:sz="4" w:space="0" w:color="003EA3"/>
          <w:bottom w:val="dotted" w:sz="4" w:space="0" w:color="003EA3"/>
          <w:right w:val="dotted" w:sz="4" w:space="0" w:color="003EA3"/>
          <w:insideH w:val="dotted" w:sz="4" w:space="0" w:color="003EA3"/>
          <w:insideV w:val="dotted" w:sz="4" w:space="0" w:color="003EA3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F27F2E" w:rsidRPr="00F27F2E" w14:paraId="213C3042" w14:textId="77777777" w:rsidTr="007A59EF">
        <w:trPr>
          <w:trHeight w:val="7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9C5" w14:textId="6FFFEF50" w:rsidR="00354DC7" w:rsidRPr="00F27F2E" w:rsidRDefault="00354DC7" w:rsidP="00A649FB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C8B" w14:textId="77777777" w:rsidR="00354DC7" w:rsidRPr="00F27F2E" w:rsidRDefault="00354DC7" w:rsidP="001F5560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</w:p>
        </w:tc>
      </w:tr>
      <w:tr w:rsidR="00F27F2E" w:rsidRPr="00F27F2E" w14:paraId="6EDBFF4C" w14:textId="77777777" w:rsidTr="007A59EF">
        <w:trPr>
          <w:trHeight w:val="1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CB3" w14:textId="31568849" w:rsidR="00354DC7" w:rsidRPr="00F27F2E" w:rsidRDefault="00354DC7" w:rsidP="00A649FB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  <w:r w:rsidRPr="00F27F2E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  <w:t xml:space="preserve">En </w:t>
            </w:r>
            <w:proofErr w:type="spellStart"/>
            <w:r w:rsidRPr="00F27F2E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  <w:t>adelante</w:t>
            </w:r>
            <w:proofErr w:type="spellEnd"/>
            <w:r w:rsidRPr="00F27F2E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  <w:t xml:space="preserve">, </w:t>
            </w:r>
            <w:r w:rsidRPr="00F27F2E">
              <w:rPr>
                <w:rFonts w:ascii="Arial" w:eastAsia="Arial" w:hAnsi="Arial" w:cs="Arial"/>
                <w:b/>
                <w:color w:val="1F4E79" w:themeColor="accent1" w:themeShade="80"/>
                <w:sz w:val="22"/>
                <w:szCs w:val="22"/>
                <w:lang w:eastAsia="es-CO"/>
              </w:rPr>
              <w:t xml:space="preserve">EL </w:t>
            </w:r>
            <w:r w:rsidR="009B4C46">
              <w:rPr>
                <w:rFonts w:ascii="Arial" w:eastAsia="Arial" w:hAnsi="Arial" w:cs="Arial"/>
                <w:b/>
                <w:color w:val="1F4E79" w:themeColor="accent1" w:themeShade="80"/>
                <w:sz w:val="22"/>
                <w:szCs w:val="22"/>
                <w:lang w:eastAsia="es-CO"/>
              </w:rPr>
              <w:t>MANDANTE COMERCIAL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5C3" w14:textId="78068A86" w:rsidR="00354DC7" w:rsidRPr="00F27F2E" w:rsidRDefault="00354DC7" w:rsidP="00A649FB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  <w:r w:rsidRPr="00F27F2E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  <w:t xml:space="preserve">En </w:t>
            </w:r>
            <w:proofErr w:type="spellStart"/>
            <w:r w:rsidRPr="00F27F2E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  <w:t>adelante</w:t>
            </w:r>
            <w:proofErr w:type="spellEnd"/>
            <w:r w:rsidRPr="00F27F2E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  <w:t xml:space="preserve">, </w:t>
            </w:r>
            <w:r w:rsidRPr="00F27F2E">
              <w:rPr>
                <w:rFonts w:ascii="Arial" w:eastAsia="Arial" w:hAnsi="Arial" w:cs="Arial"/>
                <w:b/>
                <w:color w:val="1F4E79" w:themeColor="accent1" w:themeShade="80"/>
                <w:sz w:val="22"/>
                <w:szCs w:val="22"/>
                <w:lang w:eastAsia="es-CO"/>
              </w:rPr>
              <w:t xml:space="preserve">EL </w:t>
            </w:r>
            <w:r w:rsidR="00875A32">
              <w:rPr>
                <w:rFonts w:ascii="Arial" w:eastAsia="Arial" w:hAnsi="Arial" w:cs="Arial"/>
                <w:b/>
                <w:color w:val="1F4E79" w:themeColor="accent1" w:themeShade="80"/>
                <w:sz w:val="22"/>
                <w:szCs w:val="22"/>
                <w:lang w:eastAsia="es-CO"/>
              </w:rPr>
              <w:t>GESTOR COMERCIAL</w:t>
            </w:r>
          </w:p>
        </w:tc>
      </w:tr>
    </w:tbl>
    <w:p w14:paraId="08DDEF10" w14:textId="77777777" w:rsidR="00C9077A" w:rsidRPr="00F27F2E" w:rsidRDefault="00C9077A" w:rsidP="00C9077A">
      <w:pPr>
        <w:tabs>
          <w:tab w:val="right" w:pos="11057"/>
        </w:tabs>
        <w:spacing w:after="0"/>
        <w:jc w:val="both"/>
        <w:rPr>
          <w:rFonts w:ascii="Arial" w:eastAsia="Arial" w:hAnsi="Arial" w:cs="Arial"/>
          <w:b/>
          <w:color w:val="1F4E79" w:themeColor="accent1" w:themeShade="80"/>
          <w:lang w:eastAsia="es-CO"/>
        </w:rPr>
      </w:pPr>
    </w:p>
    <w:p w14:paraId="4528F461" w14:textId="77777777" w:rsidR="00B14389" w:rsidRPr="00F27F2E" w:rsidRDefault="00B14389" w:rsidP="00B14389">
      <w:pPr>
        <w:spacing w:after="0" w:line="240" w:lineRule="auto"/>
        <w:ind w:left="2832" w:firstLine="708"/>
        <w:rPr>
          <w:rFonts w:ascii="Arial" w:eastAsia="Calibri" w:hAnsi="Arial" w:cs="Arial"/>
          <w:b/>
          <w:bCs/>
          <w:color w:val="1F4E79" w:themeColor="accent1" w:themeShade="80"/>
          <w:lang w:eastAsia="es-CO"/>
        </w:rPr>
      </w:pPr>
      <w:r w:rsidRPr="00F27F2E">
        <w:rPr>
          <w:rFonts w:ascii="Arial" w:eastAsia="Calibri" w:hAnsi="Arial" w:cs="Arial"/>
          <w:b/>
          <w:bCs/>
          <w:color w:val="1F4E79" w:themeColor="accent1" w:themeShade="80"/>
          <w:lang w:eastAsia="es-CO"/>
        </w:rPr>
        <w:t>CONDICIONES CONTRACTUALES</w:t>
      </w:r>
    </w:p>
    <w:p w14:paraId="4F341696" w14:textId="77777777" w:rsidR="00B14389" w:rsidRPr="00F27F2E" w:rsidRDefault="00B14389" w:rsidP="00B14389">
      <w:pPr>
        <w:spacing w:after="0" w:line="252" w:lineRule="auto"/>
        <w:contextualSpacing/>
        <w:jc w:val="both"/>
        <w:rPr>
          <w:rFonts w:ascii="Arial" w:eastAsia="Calibri" w:hAnsi="Arial" w:cs="Arial"/>
          <w:b/>
          <w:bCs/>
          <w:color w:val="1F4E79" w:themeColor="accent1" w:themeShade="80"/>
          <w:lang w:eastAsia="es-CO"/>
        </w:rPr>
      </w:pPr>
      <w:r w:rsidRPr="00F27F2E">
        <w:rPr>
          <w:rFonts w:ascii="Arial" w:eastAsia="Calibri" w:hAnsi="Arial" w:cs="Arial"/>
          <w:b/>
          <w:bCs/>
          <w:color w:val="1F4E79" w:themeColor="accent1" w:themeShade="80"/>
          <w:lang w:eastAsia="es-CO"/>
        </w:rPr>
        <w:t>Información del contrato</w:t>
      </w:r>
    </w:p>
    <w:p w14:paraId="1C53612B" w14:textId="77777777" w:rsidR="00B14389" w:rsidRPr="00F27F2E" w:rsidRDefault="00B14389" w:rsidP="00B14389">
      <w:pPr>
        <w:spacing w:after="0" w:line="252" w:lineRule="auto"/>
        <w:ind w:left="1080"/>
        <w:contextualSpacing/>
        <w:jc w:val="both"/>
        <w:rPr>
          <w:rFonts w:ascii="Arial" w:eastAsia="Calibri" w:hAnsi="Arial" w:cs="Arial"/>
          <w:b/>
          <w:bCs/>
          <w:color w:val="1F4E79" w:themeColor="accent1" w:themeShade="80"/>
          <w:lang w:eastAsia="es-CO"/>
        </w:rPr>
      </w:pPr>
    </w:p>
    <w:tbl>
      <w:tblPr>
        <w:tblW w:w="1038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535"/>
        <w:gridCol w:w="3019"/>
      </w:tblGrid>
      <w:tr w:rsidR="00F27F2E" w:rsidRPr="00F27F2E" w14:paraId="5B91AE97" w14:textId="77777777" w:rsidTr="00A20F69">
        <w:trPr>
          <w:trHeight w:val="7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7EF2" w14:textId="62980F1C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 w:rsidRPr="00F27F2E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 xml:space="preserve">Objeto del </w:t>
            </w:r>
            <w:r w:rsidR="005A1EC6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c</w:t>
            </w:r>
            <w:r w:rsidRPr="00F27F2E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ontrato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D8F6" w14:textId="4DFFB943" w:rsidR="00B14389" w:rsidRPr="00F27F2E" w:rsidRDefault="00354DC7" w:rsidP="0020379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</w:pPr>
            <w:r w:rsidRPr="00F27F2E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 xml:space="preserve">Por medio de este contrato, </w:t>
            </w:r>
            <w:r w:rsidR="009B4C46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>EL GESTOR COMERCIAL</w:t>
            </w:r>
            <w:r w:rsidRPr="00F27F2E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 xml:space="preserve"> se obliga a prestar los servicios </w:t>
            </w:r>
            <w:r w:rsidR="0065254A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>profesionales de asesoría comercial, impulsando y promoviendo la venta de productos de la marca ___</w:t>
            </w:r>
            <w:r w:rsidR="005D1048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 xml:space="preserve">, según los lineamientos e indicaciones otorgados por EL </w:t>
            </w:r>
            <w:r w:rsidR="00F669C4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>MANDANTE</w:t>
            </w:r>
            <w:r w:rsidR="00C35F7C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>.</w:t>
            </w:r>
            <w:r w:rsidR="005D1048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 xml:space="preserve"> </w:t>
            </w:r>
          </w:p>
          <w:p w14:paraId="61354768" w14:textId="77777777" w:rsidR="00203797" w:rsidRPr="00F27F2E" w:rsidRDefault="00203797" w:rsidP="0020379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</w:pPr>
          </w:p>
          <w:p w14:paraId="3F66888F" w14:textId="18C3519E" w:rsidR="001F4D68" w:rsidRPr="00F27F2E" w:rsidRDefault="00354DC7" w:rsidP="001F556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</w:pPr>
            <w:r w:rsidRPr="00F27F2E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 xml:space="preserve">Las prestaciones de </w:t>
            </w:r>
            <w:r w:rsidR="00671174" w:rsidRPr="00F27F2E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>estos</w:t>
            </w:r>
            <w:r w:rsidRPr="00F27F2E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 xml:space="preserve"> se hará</w:t>
            </w:r>
            <w:r w:rsidR="008F643D" w:rsidRPr="00F27F2E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>n</w:t>
            </w:r>
            <w:r w:rsidRPr="00F27F2E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 xml:space="preserve"> de manera oportuna, con profesionalidad y diligencia, en forma independiente</w:t>
            </w:r>
            <w:r w:rsidR="00F91986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 xml:space="preserve"> </w:t>
            </w:r>
            <w:r w:rsidRPr="00F27F2E">
              <w:rPr>
                <w:rFonts w:ascii="Arial" w:eastAsia="Calibri" w:hAnsi="Arial" w:cs="Arial"/>
                <w:color w:val="1F4E79" w:themeColor="accent1" w:themeShade="80"/>
                <w:lang w:val="es-ES_tradnl" w:eastAsia="es-CO"/>
              </w:rPr>
              <w:t>y obrando con plena autonomía administrativa, técnica, directiva y financiera.</w:t>
            </w:r>
          </w:p>
        </w:tc>
      </w:tr>
      <w:tr w:rsidR="00F27F2E" w:rsidRPr="00F27F2E" w14:paraId="18147761" w14:textId="77777777" w:rsidTr="00F91986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AC1F" w14:textId="232D9855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 w:rsidRPr="00F27F2E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 xml:space="preserve">Valor </w:t>
            </w:r>
            <w:r w:rsidR="00264864" w:rsidRPr="00F27F2E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total </w:t>
            </w:r>
            <w:r w:rsidR="00A34E14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a</w:t>
            </w:r>
            <w:r w:rsidR="00264864" w:rsidRPr="00F27F2E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proximado</w:t>
            </w:r>
            <w:r w:rsidRPr="00F27F2E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 xml:space="preserve"> </w:t>
            </w:r>
            <w:r w:rsidR="00A34E14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y forma de pago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1639" w14:textId="23A8DAB2" w:rsidR="00B14389" w:rsidRPr="00F27F2E" w:rsidRDefault="00A34E14" w:rsidP="001F4D68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>El valor a pagar por la impulsión y venta de los productos será de la siguiente manera: ____</w:t>
            </w:r>
            <w:r w:rsidR="00264864" w:rsidRPr="00F27F2E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 </w:t>
            </w:r>
            <w:r w:rsidR="001F4D68" w:rsidRPr="00F27F2E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 </w:t>
            </w:r>
          </w:p>
        </w:tc>
      </w:tr>
      <w:tr w:rsidR="00F27F2E" w:rsidRPr="00F27F2E" w14:paraId="04BBDCCC" w14:textId="77777777" w:rsidTr="00F91986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82A7" w14:textId="77777777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 w:rsidRPr="00F27F2E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Modalidad de pago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2645" w14:textId="2C15AEF3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 w:rsidRPr="00F27F2E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Periódico     </w:t>
            </w:r>
            <w:sdt>
              <w:sdtPr>
                <w:rPr>
                  <w:rFonts w:ascii="Arial" w:eastAsia="Calibri" w:hAnsi="Arial" w:cs="Arial"/>
                  <w:color w:val="1F4E79" w:themeColor="accent1" w:themeShade="80"/>
                  <w:lang w:eastAsia="es-CO"/>
                </w:rPr>
                <w:id w:val="40958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2E" w:rsidRPr="00F27F2E">
                  <w:rPr>
                    <w:rFonts w:ascii="Segoe UI Symbol" w:eastAsia="MS Gothic" w:hAnsi="Segoe UI Symbol" w:cs="Segoe UI Symbol"/>
                    <w:color w:val="1F4E79" w:themeColor="accent1" w:themeShade="80"/>
                    <w:lang w:eastAsia="es-CO"/>
                  </w:rPr>
                  <w:t>☐</w:t>
                </w:r>
              </w:sdtContent>
            </w:sdt>
            <w:r w:rsidRPr="00F27F2E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    </w:t>
            </w:r>
          </w:p>
          <w:p w14:paraId="081A0A99" w14:textId="77777777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 w:rsidRPr="00F27F2E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Único           </w:t>
            </w:r>
            <w:sdt>
              <w:sdtPr>
                <w:rPr>
                  <w:rFonts w:ascii="Arial" w:eastAsia="Calibri" w:hAnsi="Arial" w:cs="Arial"/>
                  <w:color w:val="1F4E79" w:themeColor="accent1" w:themeShade="80"/>
                  <w:lang w:eastAsia="es-CO"/>
                </w:rPr>
                <w:id w:val="14099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F2E">
                  <w:rPr>
                    <w:rFonts w:ascii="Segoe UI Symbol" w:eastAsia="Calibri" w:hAnsi="Segoe UI Symbol" w:cs="Segoe UI Symbol"/>
                    <w:color w:val="1F4E79" w:themeColor="accent1" w:themeShade="80"/>
                    <w:lang w:eastAsia="es-CO"/>
                  </w:rPr>
                  <w:t>☐</w:t>
                </w:r>
              </w:sdtContent>
            </w:sdt>
            <w:r w:rsidRPr="00F27F2E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  </w:t>
            </w:r>
          </w:p>
          <w:p w14:paraId="6A1547C7" w14:textId="77777777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 w:rsidRPr="00F27F2E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Porcentaje   </w:t>
            </w:r>
            <w:sdt>
              <w:sdtPr>
                <w:rPr>
                  <w:rFonts w:ascii="Arial" w:eastAsia="Calibri" w:hAnsi="Arial" w:cs="Arial"/>
                  <w:color w:val="1F4E79" w:themeColor="accent1" w:themeShade="80"/>
                  <w:lang w:eastAsia="es-CO"/>
                </w:rPr>
                <w:id w:val="2780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D68" w:rsidRPr="00F27F2E">
                  <w:rPr>
                    <w:rFonts w:ascii="Segoe UI Symbol" w:eastAsia="MS Gothic" w:hAnsi="Segoe UI Symbol" w:cs="Segoe UI Symbol"/>
                    <w:color w:val="1F4E79" w:themeColor="accent1" w:themeShade="80"/>
                    <w:lang w:eastAsia="es-CO"/>
                  </w:rPr>
                  <w:t>☐</w:t>
                </w:r>
              </w:sdtContent>
            </w:sdt>
          </w:p>
          <w:p w14:paraId="4D6F7FF9" w14:textId="77777777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 w:rsidRPr="00F27F2E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Sin pago      </w:t>
            </w:r>
            <w:sdt>
              <w:sdtPr>
                <w:rPr>
                  <w:rFonts w:ascii="Arial" w:eastAsia="Calibri" w:hAnsi="Arial" w:cs="Arial"/>
                  <w:color w:val="1F4E79" w:themeColor="accent1" w:themeShade="80"/>
                  <w:lang w:eastAsia="es-CO"/>
                </w:rPr>
                <w:id w:val="206668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F2E">
                  <w:rPr>
                    <w:rFonts w:ascii="Segoe UI Symbol" w:eastAsia="Calibri" w:hAnsi="Segoe UI Symbol" w:cs="Segoe UI Symbol"/>
                    <w:color w:val="1F4E79" w:themeColor="accent1" w:themeShade="80"/>
                    <w:lang w:eastAsia="es-CO"/>
                  </w:rPr>
                  <w:t>☐</w:t>
                </w:r>
              </w:sdtContent>
            </w:sdt>
          </w:p>
          <w:p w14:paraId="498D55C3" w14:textId="77777777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 w:rsidRPr="00F27F2E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Otro             </w:t>
            </w:r>
            <w:sdt>
              <w:sdtPr>
                <w:rPr>
                  <w:rFonts w:ascii="Arial" w:eastAsia="Calibri" w:hAnsi="Arial" w:cs="Arial"/>
                  <w:color w:val="1F4E79" w:themeColor="accent1" w:themeShade="80"/>
                  <w:lang w:eastAsia="es-CO"/>
                </w:rPr>
                <w:id w:val="174877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F2E">
                  <w:rPr>
                    <w:rFonts w:ascii="Segoe UI Symbol" w:eastAsia="Calibri" w:hAnsi="Segoe UI Symbol" w:cs="Segoe UI Symbol"/>
                    <w:color w:val="1F4E79" w:themeColor="accent1" w:themeShade="80"/>
                    <w:lang w:eastAsia="es-CO"/>
                  </w:rPr>
                  <w:t>☐</w:t>
                </w:r>
              </w:sdtContent>
            </w:sdt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1731" w14:textId="77777777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</w:p>
          <w:p w14:paraId="64A684FF" w14:textId="77777777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</w:p>
          <w:p w14:paraId="63490E70" w14:textId="77777777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</w:p>
        </w:tc>
      </w:tr>
      <w:tr w:rsidR="00F27F2E" w:rsidRPr="00F27F2E" w14:paraId="4D740830" w14:textId="77777777" w:rsidTr="00A20F69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7483" w14:textId="452FB423" w:rsidR="00B14389" w:rsidRPr="00F27F2E" w:rsidRDefault="00E847DA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Duración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6CB4" w14:textId="2180E598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</w:p>
        </w:tc>
      </w:tr>
      <w:tr w:rsidR="00F27F2E" w:rsidRPr="00F27F2E" w14:paraId="20F32CC5" w14:textId="77777777" w:rsidTr="00A20F69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E842" w14:textId="77777777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 w:rsidRPr="00F27F2E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Fecha de inicio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2F79" w14:textId="77777777" w:rsidR="00B14389" w:rsidRPr="00F27F2E" w:rsidRDefault="00B14389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</w:p>
        </w:tc>
      </w:tr>
      <w:tr w:rsidR="00F27F2E" w:rsidRPr="00F27F2E" w14:paraId="017BDFBC" w14:textId="77777777" w:rsidTr="00A20F69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3A44" w14:textId="2A994E9F" w:rsidR="00F27F2E" w:rsidRPr="00F27F2E" w:rsidRDefault="00F27F2E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 w:rsidRPr="00F27F2E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 xml:space="preserve">Fecha de terminación 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39C5" w14:textId="77777777" w:rsidR="00F27F2E" w:rsidRPr="00F27F2E" w:rsidRDefault="00F27F2E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</w:p>
        </w:tc>
      </w:tr>
      <w:tr w:rsidR="00E847DA" w:rsidRPr="00F27F2E" w14:paraId="7EE70539" w14:textId="77777777" w:rsidTr="00A20F69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7FC7" w14:textId="187D9960" w:rsidR="00E847DA" w:rsidRPr="00F27F2E" w:rsidRDefault="00E847DA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Suspensión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DCEB" w14:textId="473D88E5" w:rsidR="00E847DA" w:rsidRPr="00F27F2E" w:rsidRDefault="00E847DA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El presente acuerdo podrá ser suspendido </w:t>
            </w:r>
            <w:r w:rsidR="006D3BD6" w:rsidRPr="00F27F2E">
              <w:rPr>
                <w:rFonts w:ascii="Arial" w:eastAsia="Arial" w:hAnsi="Arial" w:cs="Arial"/>
                <w:color w:val="1F4E79" w:themeColor="accent1" w:themeShade="80"/>
                <w:lang w:eastAsia="es-CO"/>
              </w:rPr>
              <w:t>por mutuo acuerdo entre las partes. Unilateralmente, sólo podrá suspenderse por causa extraña, fuerza mayor y caso fortuito debidamente comprobado</w:t>
            </w:r>
            <w:r w:rsidR="006D3BD6">
              <w:rPr>
                <w:rFonts w:ascii="Arial" w:eastAsia="Arial" w:hAnsi="Arial" w:cs="Arial"/>
                <w:color w:val="1F4E79" w:themeColor="accent1" w:themeShade="80"/>
                <w:lang w:eastAsia="es-CO"/>
              </w:rPr>
              <w:t>.</w:t>
            </w:r>
          </w:p>
        </w:tc>
      </w:tr>
      <w:tr w:rsidR="00F27F2E" w:rsidRPr="00F27F2E" w14:paraId="47DD36B1" w14:textId="77777777" w:rsidTr="00A20F69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460D" w14:textId="77777777" w:rsidR="00354DC7" w:rsidRPr="00F27F2E" w:rsidRDefault="00354DC7" w:rsidP="002E17F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 w:rsidRPr="00F27F2E"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Renovación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3B4F" w14:textId="7AD88B89" w:rsidR="00354DC7" w:rsidRPr="00F27F2E" w:rsidRDefault="003D7DA3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Las partes podrán renovar el presente acuerdo siempre y cuando haya intención de las mismas y no medie previo aviso con 30 días de antelación, la intención de terminar el acuerdo comercial. </w:t>
            </w:r>
          </w:p>
        </w:tc>
      </w:tr>
      <w:tr w:rsidR="00E269F5" w:rsidRPr="00F27F2E" w14:paraId="43ACD787" w14:textId="77777777" w:rsidTr="00A20F69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91DA" w14:textId="5CC1CAF6" w:rsidR="00E269F5" w:rsidRPr="00F27F2E" w:rsidRDefault="00E269F5" w:rsidP="002E17F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Terminación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3813" w14:textId="77777777" w:rsidR="00E269F5" w:rsidRDefault="00E269F5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>El presente acuerdo podrá ser terminado de la siguiente manera:</w:t>
            </w:r>
          </w:p>
          <w:p w14:paraId="22FF94E9" w14:textId="77777777" w:rsidR="00E269F5" w:rsidRDefault="00E269F5" w:rsidP="00E269F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Por expiración de la duración acordada. </w:t>
            </w:r>
          </w:p>
          <w:p w14:paraId="29108CCF" w14:textId="77777777" w:rsidR="00E269F5" w:rsidRDefault="00E269F5" w:rsidP="00E269F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Por mutuo acuerdo entre las partes. </w:t>
            </w:r>
          </w:p>
          <w:p w14:paraId="1D22308A" w14:textId="61A05FD5" w:rsidR="00E269F5" w:rsidRPr="00AF03ED" w:rsidRDefault="00E269F5" w:rsidP="00AF03ED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Por incumplimiento de las obligaciones legales o establecidas en este acuerdo. </w:t>
            </w:r>
          </w:p>
        </w:tc>
      </w:tr>
      <w:tr w:rsidR="00AF03ED" w:rsidRPr="00F27F2E" w14:paraId="3EE23BD3" w14:textId="77777777" w:rsidTr="00A20F69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499D" w14:textId="0A7058FB" w:rsidR="00AF03ED" w:rsidRDefault="00AF03ED" w:rsidP="002E17F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Solución de conflictos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BC4A" w14:textId="4ED83E19" w:rsidR="00AF03ED" w:rsidRDefault="00AF03ED" w:rsidP="002E17F0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Cualquier conflicto que surja entre las partes será resuelto de manera directa entre las mismas, si agotado este mecanismo no es posible llegar a un acuerdo, pasados 30 días de la situación que dio origen al </w:t>
            </w:r>
            <w:r w:rsidR="0063320E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conflicto, estas quedan </w:t>
            </w:r>
            <w:r w:rsidR="002376E0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habilitadas para acudir a las vías legales que consideren. </w:t>
            </w:r>
          </w:p>
        </w:tc>
      </w:tr>
      <w:tr w:rsidR="003D7DA3" w:rsidRPr="00F27F2E" w14:paraId="60AE8D06" w14:textId="77777777" w:rsidTr="00A20F69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FCE3C" w14:textId="53C32F5E" w:rsidR="003D7DA3" w:rsidRPr="00F27F2E" w:rsidRDefault="00757A44" w:rsidP="002E17F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Obligaciones del Gestor Comercial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42B0" w14:textId="050F8194" w:rsidR="003D7DA3" w:rsidRDefault="00757A44" w:rsidP="00757A4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>Cumplir con la impulsión y venta de productos de la marca</w:t>
            </w:r>
            <w:r w:rsidR="00B17A5B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 </w:t>
            </w:r>
            <w:r w:rsidR="00BE72E4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con plena autonomía e independencia. </w:t>
            </w:r>
          </w:p>
          <w:p w14:paraId="148F55D5" w14:textId="77777777" w:rsidR="00BE72E4" w:rsidRDefault="00BE72E4" w:rsidP="00757A4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lastRenderedPageBreak/>
              <w:t xml:space="preserve">Seguir los lineamientos entregados por el Mandante Comercial para la debida </w:t>
            </w:r>
            <w:r w:rsidR="00193665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ejecución del presente acuerdo. </w:t>
            </w:r>
          </w:p>
          <w:p w14:paraId="48638F09" w14:textId="77777777" w:rsidR="00193665" w:rsidRDefault="00193665" w:rsidP="00757A4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Presentar los informes y reportar las novedades a que haya lugar, con relación a la ejecución </w:t>
            </w:r>
            <w:r w:rsidR="00BB6613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en debida forma del acuerdo comercial. </w:t>
            </w:r>
          </w:p>
          <w:p w14:paraId="2988E3EC" w14:textId="599D440A" w:rsidR="00BB6613" w:rsidRDefault="00BB6613" w:rsidP="00757A4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Guardar </w:t>
            </w:r>
            <w:r w:rsidR="006D3BD6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>absoluta</w:t>
            </w: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 confidencialidad </w:t>
            </w:r>
            <w:r w:rsidR="00DA5ABD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sobre las estrategias e información a que tenga </w:t>
            </w:r>
            <w:r w:rsidR="0031642F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>acceso</w:t>
            </w:r>
            <w:r w:rsidR="00DA5ABD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. </w:t>
            </w:r>
            <w:r w:rsidR="00F0532E" w:rsidRPr="00F27F2E">
              <w:rPr>
                <w:rFonts w:ascii="Arial" w:eastAsia="Arial" w:hAnsi="Arial" w:cs="Arial"/>
                <w:color w:val="1F4E79" w:themeColor="accent1" w:themeShade="80"/>
                <w:lang w:eastAsia="es-CO"/>
              </w:rPr>
              <w:t xml:space="preserve">Las partes no utilizarán la información confidencial para fines comerciales y sólo la utilizarán para efectos de este </w:t>
            </w:r>
            <w:r w:rsidR="00F0532E">
              <w:rPr>
                <w:rFonts w:ascii="Arial" w:eastAsia="Arial" w:hAnsi="Arial" w:cs="Arial"/>
                <w:color w:val="1F4E79" w:themeColor="accent1" w:themeShade="80"/>
                <w:lang w:eastAsia="es-CO"/>
              </w:rPr>
              <w:t>acuerdo.</w:t>
            </w:r>
          </w:p>
          <w:p w14:paraId="4CFCB0DA" w14:textId="77777777" w:rsidR="00DA5ABD" w:rsidRDefault="00DA5ABD" w:rsidP="00757A4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Tratar en debida forma los datos personales de los clientes y personas a las cuales ofrezca los productos. </w:t>
            </w:r>
          </w:p>
          <w:p w14:paraId="73213612" w14:textId="66A6E727" w:rsidR="00DA5ABD" w:rsidRDefault="00BC65C9" w:rsidP="00757A4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Reconocer ante terceros que el presente acuerdo no genera obligaciones de ninguna índole laboral, pues se trata de un acuerdo comercial en el cual las partes contratan una agencia comercial </w:t>
            </w:r>
            <w:r w:rsidR="005554E4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en los términos del Código de Comercio. </w:t>
            </w:r>
          </w:p>
          <w:p w14:paraId="74A7B3ED" w14:textId="58A05AD2" w:rsidR="008D6E10" w:rsidRPr="00757A44" w:rsidRDefault="008D6E10" w:rsidP="00757A4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Reconocer que la agencia comercial se desarrolla sin representación, es decir, que el Gestor Comercial actúa por cuenta propia y solo </w:t>
            </w:r>
            <w:r w:rsidR="00475407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>se comprometerá en el ofrecimiento y venta de los productos</w:t>
            </w:r>
            <w:r w:rsidR="004C0864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. Cualquier negocio adicional que se quiera celebrar en nombre del Mandante deberá constar previa autorización por escrito. </w:t>
            </w:r>
          </w:p>
        </w:tc>
      </w:tr>
      <w:tr w:rsidR="00B929F0" w:rsidRPr="00F27F2E" w14:paraId="3C091EBA" w14:textId="77777777" w:rsidTr="00A20F69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2195" w14:textId="64E08166" w:rsidR="00B929F0" w:rsidRDefault="00241094" w:rsidP="002E17F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lastRenderedPageBreak/>
              <w:t>Obligaciones del Mandante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ABD8" w14:textId="77777777" w:rsidR="00B929F0" w:rsidRDefault="00241094" w:rsidP="0024109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 w:rsidRPr="00241094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>Entrega</w:t>
            </w: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r al Gestor Comercial todas las recomendaciones, lineamientos e instrucciones para </w:t>
            </w:r>
            <w:r w:rsidR="00C839A0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la debida ejecución del Acuerdo Comercial. </w:t>
            </w:r>
          </w:p>
          <w:p w14:paraId="05A23CF4" w14:textId="3B91CA9B" w:rsidR="00D017D0" w:rsidRPr="00C920D8" w:rsidRDefault="00C839A0" w:rsidP="00C920D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Pagar dentro de los plazos </w:t>
            </w:r>
            <w:r w:rsidR="000A1B27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acordados los incentivos o </w:t>
            </w:r>
            <w:r w:rsidR="00D017D0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>contraprestación por la gestión comercial encomendada.</w:t>
            </w:r>
          </w:p>
        </w:tc>
      </w:tr>
      <w:tr w:rsidR="005A1EC6" w:rsidRPr="00F27F2E" w14:paraId="7EAC73CF" w14:textId="77777777" w:rsidTr="00A20F69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7BF7" w14:textId="32006DB9" w:rsidR="005A1EC6" w:rsidRDefault="005A1EC6" w:rsidP="002E17F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 xml:space="preserve">Derechos de autor y propiedad intelectual 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9C28" w14:textId="789D12DF" w:rsidR="005A1EC6" w:rsidRPr="003B6953" w:rsidRDefault="003B6953" w:rsidP="003B6953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Todas las herramientas, información, secretos empresariales y en general cualquier propiedad intelectual que sea entregada al Gestor Comercial para la ejecución del presente acuerdo, </w:t>
            </w:r>
            <w:r w:rsidR="004E02F1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sigue siendo de propiedad del Mandatario y por tanto este se reserva sus derechos morales y patrimoniales. </w:t>
            </w:r>
          </w:p>
        </w:tc>
      </w:tr>
      <w:tr w:rsidR="004E02F1" w:rsidRPr="00F27F2E" w14:paraId="33E6C8FD" w14:textId="77777777" w:rsidTr="00A20F69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4A2C" w14:textId="4FDBC83E" w:rsidR="004E02F1" w:rsidRDefault="004E02F1" w:rsidP="002E17F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Cesión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370D" w14:textId="6723C627" w:rsidR="004E02F1" w:rsidRDefault="004E02F1" w:rsidP="003B6953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Se prohíbe ceder total o parcialmente este acuerdo. En caso de llegarse a efectuar una cesión, deberá constar acuerdo escrito entre las partes. </w:t>
            </w:r>
          </w:p>
        </w:tc>
      </w:tr>
      <w:tr w:rsidR="004E02F1" w:rsidRPr="00F27F2E" w14:paraId="27D41CCC" w14:textId="77777777" w:rsidTr="00A20F69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8C75" w14:textId="496EE681" w:rsidR="004E02F1" w:rsidRDefault="004E02F1" w:rsidP="002E17F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b/>
                <w:bCs/>
                <w:color w:val="1F4E79" w:themeColor="accent1" w:themeShade="80"/>
                <w:lang w:eastAsia="es-CO"/>
              </w:rPr>
              <w:t>Independencia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1F8C" w14:textId="61B7E327" w:rsidR="004E02F1" w:rsidRDefault="004E02F1" w:rsidP="003B6953">
            <w:pPr>
              <w:spacing w:after="0" w:line="240" w:lineRule="auto"/>
              <w:jc w:val="both"/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</w:pP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Las partes guardan absoluta independencia y autonomía y los lineamientos o instrucciones que se entreguen entre ambos, solo servirán para ejecutar en debida forma el acuerdo comercial, sin que esto signifique participación social, administrativo o </w:t>
            </w:r>
            <w:r w:rsidR="00347B61"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>vínculo</w:t>
            </w:r>
            <w:r>
              <w:rPr>
                <w:rFonts w:ascii="Arial" w:eastAsia="Calibri" w:hAnsi="Arial" w:cs="Arial"/>
                <w:color w:val="1F4E79" w:themeColor="accent1" w:themeShade="80"/>
                <w:lang w:eastAsia="es-CO"/>
              </w:rPr>
              <w:t xml:space="preserve"> laboral alguno. </w:t>
            </w:r>
          </w:p>
        </w:tc>
      </w:tr>
    </w:tbl>
    <w:p w14:paraId="6D26A636" w14:textId="7F364BA7" w:rsidR="00AC3230" w:rsidRPr="00F27F2E" w:rsidRDefault="00AC3230" w:rsidP="00A37E1B">
      <w:pPr>
        <w:tabs>
          <w:tab w:val="right" w:pos="11057"/>
        </w:tabs>
        <w:spacing w:after="0"/>
        <w:jc w:val="both"/>
        <w:rPr>
          <w:rFonts w:ascii="Arial" w:eastAsia="Arial" w:hAnsi="Arial" w:cs="Arial"/>
          <w:color w:val="1F4E79" w:themeColor="accent1" w:themeShade="80"/>
          <w:lang w:eastAsia="es-CO"/>
        </w:rPr>
      </w:pPr>
      <w:r w:rsidRPr="00F27F2E">
        <w:rPr>
          <w:rFonts w:ascii="Arial" w:eastAsia="Arial" w:hAnsi="Arial" w:cs="Arial"/>
          <w:color w:val="1F4E79" w:themeColor="accent1" w:themeShade="80"/>
          <w:lang w:eastAsia="es-CO"/>
        </w:rPr>
        <w:t xml:space="preserve">  </w:t>
      </w:r>
    </w:p>
    <w:p w14:paraId="70CC43D5" w14:textId="56C68225" w:rsidR="004B251B" w:rsidRPr="004E02F1" w:rsidRDefault="00B14389" w:rsidP="004E02F1">
      <w:pPr>
        <w:tabs>
          <w:tab w:val="right" w:pos="11057"/>
        </w:tabs>
        <w:jc w:val="both"/>
        <w:rPr>
          <w:rFonts w:ascii="Arial" w:eastAsia="Arial" w:hAnsi="Arial" w:cs="Arial"/>
          <w:color w:val="1F4E79" w:themeColor="accent1" w:themeShade="80"/>
          <w:lang w:eastAsia="es-CO"/>
        </w:rPr>
      </w:pPr>
      <w:r w:rsidRPr="00F27F2E">
        <w:rPr>
          <w:rFonts w:ascii="Arial" w:eastAsia="Arial" w:hAnsi="Arial" w:cs="Arial"/>
          <w:color w:val="1F4E79" w:themeColor="accent1" w:themeShade="80"/>
          <w:lang w:eastAsia="es-CO"/>
        </w:rPr>
        <w:t xml:space="preserve">Para constancia y en señal de aceptación, las partes suscriben el presente documento en la siguiente fecha </w:t>
      </w:r>
      <w:r w:rsidR="00650C42" w:rsidRPr="00F27F2E">
        <w:rPr>
          <w:rFonts w:ascii="Arial" w:hAnsi="Arial" w:cs="Arial"/>
          <w:color w:val="1F4E79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50C42" w:rsidRPr="00F27F2E">
        <w:rPr>
          <w:rFonts w:ascii="Arial" w:hAnsi="Arial" w:cs="Arial"/>
          <w:color w:val="1F4E79" w:themeColor="accent1" w:themeShade="80"/>
        </w:rPr>
        <w:instrText xml:space="preserve"> FORMTEXT </w:instrText>
      </w:r>
      <w:r w:rsidR="00650C42" w:rsidRPr="00F27F2E">
        <w:rPr>
          <w:rFonts w:ascii="Arial" w:hAnsi="Arial" w:cs="Arial"/>
          <w:color w:val="1F4E79" w:themeColor="accent1" w:themeShade="80"/>
        </w:rPr>
      </w:r>
      <w:r w:rsidR="00650C42" w:rsidRPr="00F27F2E">
        <w:rPr>
          <w:rFonts w:ascii="Arial" w:hAnsi="Arial" w:cs="Arial"/>
          <w:color w:val="1F4E79" w:themeColor="accent1" w:themeShade="80"/>
        </w:rPr>
        <w:fldChar w:fldCharType="separate"/>
      </w:r>
      <w:r w:rsidR="00650C42" w:rsidRPr="00F27F2E">
        <w:rPr>
          <w:rFonts w:ascii="Arial" w:hAnsi="Arial" w:cs="Arial"/>
          <w:color w:val="1F4E79" w:themeColor="accent1" w:themeShade="80"/>
        </w:rPr>
        <w:t> </w:t>
      </w:r>
      <w:r w:rsidR="00650C42" w:rsidRPr="00F27F2E">
        <w:rPr>
          <w:rFonts w:ascii="Arial" w:hAnsi="Arial" w:cs="Arial"/>
          <w:color w:val="1F4E79" w:themeColor="accent1" w:themeShade="80"/>
        </w:rPr>
        <w:t> </w:t>
      </w:r>
      <w:r w:rsidR="00650C42" w:rsidRPr="00F27F2E">
        <w:rPr>
          <w:rFonts w:ascii="Arial" w:hAnsi="Arial" w:cs="Arial"/>
          <w:color w:val="1F4E79" w:themeColor="accent1" w:themeShade="80"/>
        </w:rPr>
        <w:t> </w:t>
      </w:r>
      <w:r w:rsidR="00650C42" w:rsidRPr="00F27F2E">
        <w:rPr>
          <w:rFonts w:ascii="Arial" w:hAnsi="Arial" w:cs="Arial"/>
          <w:color w:val="1F4E79" w:themeColor="accent1" w:themeShade="80"/>
        </w:rPr>
        <w:t> </w:t>
      </w:r>
      <w:r w:rsidR="00650C42" w:rsidRPr="00F27F2E">
        <w:rPr>
          <w:rFonts w:ascii="Arial" w:hAnsi="Arial" w:cs="Arial"/>
          <w:color w:val="1F4E79" w:themeColor="accent1" w:themeShade="80"/>
        </w:rPr>
        <w:t> </w:t>
      </w:r>
      <w:r w:rsidR="00650C42" w:rsidRPr="00F27F2E">
        <w:rPr>
          <w:rFonts w:ascii="Arial" w:hAnsi="Arial" w:cs="Arial"/>
          <w:color w:val="1F4E79" w:themeColor="accent1" w:themeShade="80"/>
        </w:rPr>
        <w:fldChar w:fldCharType="end"/>
      </w:r>
      <w:r w:rsidR="00650C42">
        <w:rPr>
          <w:rFonts w:ascii="Arial" w:hAnsi="Arial" w:cs="Arial"/>
          <w:color w:val="1F4E79" w:themeColor="accent1" w:themeShade="80"/>
        </w:rPr>
        <w:t>.</w:t>
      </w:r>
    </w:p>
    <w:tbl>
      <w:tblPr>
        <w:tblStyle w:val="Tablaconcuadrcula1"/>
        <w:tblW w:w="9923" w:type="dxa"/>
        <w:jc w:val="center"/>
        <w:tblBorders>
          <w:top w:val="dotted" w:sz="4" w:space="0" w:color="003EA3"/>
          <w:left w:val="dotted" w:sz="4" w:space="0" w:color="003EA3"/>
          <w:bottom w:val="dotted" w:sz="4" w:space="0" w:color="003EA3"/>
          <w:right w:val="dotted" w:sz="4" w:space="0" w:color="003EA3"/>
          <w:insideH w:val="dotted" w:sz="4" w:space="0" w:color="003EA3"/>
          <w:insideV w:val="dotted" w:sz="4" w:space="0" w:color="003EA3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27F2E" w:rsidRPr="00F27F2E" w14:paraId="220E4DC6" w14:textId="77777777" w:rsidTr="00347B61">
        <w:trPr>
          <w:trHeight w:val="71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FE0" w14:textId="77777777" w:rsidR="004B251B" w:rsidRPr="00F27F2E" w:rsidRDefault="004B251B" w:rsidP="00FE1467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</w:p>
          <w:p w14:paraId="2CD9183E" w14:textId="2406D0E5" w:rsidR="004B251B" w:rsidRPr="00F27F2E" w:rsidRDefault="004B251B" w:rsidP="00FE1467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</w:p>
          <w:p w14:paraId="3488ADFE" w14:textId="7AD4E2AB" w:rsidR="004B251B" w:rsidRPr="00F27F2E" w:rsidRDefault="00F27F2E" w:rsidP="00FE1467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  <w:r w:rsidRPr="00F27F2E">
              <w:rPr>
                <w:rFonts w:ascii="Arial" w:hAnsi="Arial" w:cs="Arial"/>
                <w:color w:val="1F4E79" w:themeColor="accent1" w:themeShade="8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27F2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instrText xml:space="preserve"> FORMTEXT </w:instrText>
            </w:r>
            <w:r w:rsidRPr="00F27F2E">
              <w:rPr>
                <w:rFonts w:ascii="Arial" w:hAnsi="Arial" w:cs="Arial"/>
                <w:color w:val="1F4E79" w:themeColor="accent1" w:themeShade="80"/>
              </w:rPr>
            </w:r>
            <w:r w:rsidRPr="00F27F2E">
              <w:rPr>
                <w:rFonts w:ascii="Arial" w:hAnsi="Arial" w:cs="Arial"/>
                <w:color w:val="1F4E79" w:themeColor="accent1" w:themeShade="80"/>
              </w:rPr>
              <w:fldChar w:fldCharType="separate"/>
            </w:r>
            <w:r w:rsidRPr="00F27F2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 </w:t>
            </w:r>
            <w:r w:rsidRPr="00F27F2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 </w:t>
            </w:r>
            <w:r w:rsidRPr="00F27F2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 </w:t>
            </w:r>
            <w:r w:rsidRPr="00F27F2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 </w:t>
            </w:r>
            <w:r w:rsidRPr="00F27F2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 </w:t>
            </w:r>
            <w:r w:rsidRPr="00F27F2E">
              <w:rPr>
                <w:rFonts w:ascii="Arial" w:hAnsi="Arial" w:cs="Arial"/>
                <w:color w:val="1F4E79" w:themeColor="accent1" w:themeShade="80"/>
              </w:rPr>
              <w:fldChar w:fldCharType="end"/>
            </w:r>
          </w:p>
          <w:p w14:paraId="08E8C42D" w14:textId="5A4F3CB7" w:rsidR="004B251B" w:rsidRPr="00F27F2E" w:rsidRDefault="004B251B" w:rsidP="00FE1467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  <w:r w:rsidRPr="00F27F2E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  <w:t>FIRMA:</w:t>
            </w:r>
          </w:p>
          <w:p w14:paraId="00A75847" w14:textId="63CE6459" w:rsidR="004B251B" w:rsidRPr="00F27F2E" w:rsidRDefault="004B251B" w:rsidP="00FE1467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  <w:r w:rsidRPr="00F27F2E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  <w:t xml:space="preserve">C.C.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69F" w14:textId="77777777" w:rsidR="004B251B" w:rsidRPr="00F27F2E" w:rsidRDefault="004B251B" w:rsidP="00FE1467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</w:p>
          <w:p w14:paraId="42CDB7CB" w14:textId="77777777" w:rsidR="004B251B" w:rsidRPr="00F27F2E" w:rsidRDefault="004B251B" w:rsidP="00FE1467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</w:p>
          <w:p w14:paraId="4660552E" w14:textId="30C0EF6C" w:rsidR="004B251B" w:rsidRPr="00F27F2E" w:rsidRDefault="00F27F2E" w:rsidP="00FE1467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  <w:r w:rsidRPr="00F27F2E">
              <w:rPr>
                <w:rFonts w:ascii="Arial" w:hAnsi="Arial" w:cs="Arial"/>
                <w:color w:val="1F4E79" w:themeColor="accent1" w:themeShade="8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27F2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instrText xml:space="preserve"> FORMTEXT </w:instrText>
            </w:r>
            <w:r w:rsidRPr="00F27F2E">
              <w:rPr>
                <w:rFonts w:ascii="Arial" w:hAnsi="Arial" w:cs="Arial"/>
                <w:color w:val="1F4E79" w:themeColor="accent1" w:themeShade="80"/>
              </w:rPr>
            </w:r>
            <w:r w:rsidRPr="00F27F2E">
              <w:rPr>
                <w:rFonts w:ascii="Arial" w:hAnsi="Arial" w:cs="Arial"/>
                <w:color w:val="1F4E79" w:themeColor="accent1" w:themeShade="80"/>
              </w:rPr>
              <w:fldChar w:fldCharType="separate"/>
            </w:r>
            <w:r w:rsidRPr="00F27F2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 </w:t>
            </w:r>
            <w:r w:rsidRPr="00F27F2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 </w:t>
            </w:r>
            <w:r w:rsidRPr="00F27F2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 </w:t>
            </w:r>
            <w:r w:rsidRPr="00F27F2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 </w:t>
            </w:r>
            <w:r w:rsidRPr="00F27F2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 </w:t>
            </w:r>
            <w:r w:rsidRPr="00F27F2E">
              <w:rPr>
                <w:rFonts w:ascii="Arial" w:hAnsi="Arial" w:cs="Arial"/>
                <w:color w:val="1F4E79" w:themeColor="accent1" w:themeShade="80"/>
              </w:rPr>
              <w:fldChar w:fldCharType="end"/>
            </w:r>
          </w:p>
          <w:p w14:paraId="04EEE4FC" w14:textId="7A87CA14" w:rsidR="004B251B" w:rsidRPr="00F27F2E" w:rsidRDefault="004B251B" w:rsidP="00FE1467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  <w:r w:rsidRPr="00F27F2E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  <w:t>FIRMA:</w:t>
            </w:r>
          </w:p>
          <w:p w14:paraId="2EF2575D" w14:textId="74B16685" w:rsidR="004B251B" w:rsidRPr="00F27F2E" w:rsidRDefault="004B251B" w:rsidP="00FE1467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  <w:r w:rsidRPr="00F27F2E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  <w:t xml:space="preserve">C.C. </w:t>
            </w:r>
          </w:p>
        </w:tc>
      </w:tr>
      <w:tr w:rsidR="00F27F2E" w:rsidRPr="00F27F2E" w14:paraId="603F2319" w14:textId="77777777" w:rsidTr="00347B61">
        <w:trPr>
          <w:trHeight w:val="11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2BF" w14:textId="6C46B0C1" w:rsidR="004B251B" w:rsidRPr="00F27F2E" w:rsidRDefault="004E02F1" w:rsidP="00FE1467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  <w:r w:rsidRPr="00F27F2E">
              <w:rPr>
                <w:rFonts w:ascii="Arial" w:eastAsia="Arial" w:hAnsi="Arial" w:cs="Arial"/>
                <w:b/>
                <w:color w:val="1F4E79" w:themeColor="accent1" w:themeShade="80"/>
                <w:sz w:val="22"/>
                <w:szCs w:val="22"/>
                <w:lang w:eastAsia="es-CO"/>
              </w:rPr>
              <w:t xml:space="preserve">EL </w:t>
            </w:r>
            <w:r>
              <w:rPr>
                <w:rFonts w:ascii="Arial" w:eastAsia="Arial" w:hAnsi="Arial" w:cs="Arial"/>
                <w:b/>
                <w:color w:val="1F4E79" w:themeColor="accent1" w:themeShade="80"/>
                <w:sz w:val="22"/>
                <w:szCs w:val="22"/>
                <w:lang w:eastAsia="es-CO"/>
              </w:rPr>
              <w:t>MANDANTE COMERCIAL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200" w14:textId="779BC36B" w:rsidR="004B251B" w:rsidRPr="00F27F2E" w:rsidRDefault="004E02F1" w:rsidP="00FE1467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eastAsia="es-CO"/>
              </w:rPr>
            </w:pPr>
            <w:r w:rsidRPr="00F27F2E">
              <w:rPr>
                <w:rFonts w:ascii="Arial" w:eastAsia="Arial" w:hAnsi="Arial" w:cs="Arial"/>
                <w:b/>
                <w:color w:val="1F4E79" w:themeColor="accent1" w:themeShade="80"/>
                <w:sz w:val="22"/>
                <w:szCs w:val="22"/>
                <w:lang w:eastAsia="es-CO"/>
              </w:rPr>
              <w:t xml:space="preserve">EL </w:t>
            </w:r>
            <w:r>
              <w:rPr>
                <w:rFonts w:ascii="Arial" w:eastAsia="Arial" w:hAnsi="Arial" w:cs="Arial"/>
                <w:b/>
                <w:color w:val="1F4E79" w:themeColor="accent1" w:themeShade="80"/>
                <w:sz w:val="22"/>
                <w:szCs w:val="22"/>
                <w:lang w:eastAsia="es-CO"/>
              </w:rPr>
              <w:t>GESTOR COMERCIAL</w:t>
            </w:r>
          </w:p>
        </w:tc>
      </w:tr>
    </w:tbl>
    <w:p w14:paraId="2EE17D48" w14:textId="77777777" w:rsidR="00AC3230" w:rsidRPr="00F27F2E" w:rsidRDefault="00AC3230" w:rsidP="00347B61">
      <w:pPr>
        <w:tabs>
          <w:tab w:val="right" w:pos="11057"/>
        </w:tabs>
        <w:spacing w:after="0"/>
        <w:jc w:val="both"/>
        <w:rPr>
          <w:rFonts w:ascii="Arial" w:eastAsia="Arial" w:hAnsi="Arial" w:cs="Arial"/>
          <w:color w:val="1F4E79" w:themeColor="accent1" w:themeShade="80"/>
          <w:lang w:eastAsia="es-CO"/>
        </w:rPr>
      </w:pPr>
    </w:p>
    <w:sectPr w:rsidR="00AC3230" w:rsidRPr="00F27F2E" w:rsidSect="00C9077A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Borders w:offsetFrom="page">
        <w:top w:val="dotted" w:sz="4" w:space="24" w:color="002060"/>
        <w:left w:val="dotted" w:sz="4" w:space="24" w:color="002060"/>
        <w:bottom w:val="dotted" w:sz="4" w:space="24" w:color="002060"/>
        <w:right w:val="dotted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E6F3" w14:textId="77777777" w:rsidR="00930071" w:rsidRDefault="00930071" w:rsidP="003E2834">
      <w:pPr>
        <w:spacing w:after="0" w:line="240" w:lineRule="auto"/>
      </w:pPr>
      <w:r>
        <w:separator/>
      </w:r>
    </w:p>
  </w:endnote>
  <w:endnote w:type="continuationSeparator" w:id="0">
    <w:p w14:paraId="58872254" w14:textId="77777777" w:rsidR="00930071" w:rsidRDefault="00930071" w:rsidP="003E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246752"/>
      <w:docPartObj>
        <w:docPartGallery w:val="Page Numbers (Bottom of Page)"/>
        <w:docPartUnique/>
      </w:docPartObj>
    </w:sdtPr>
    <w:sdtEndPr>
      <w:rPr>
        <w:rFonts w:ascii="Arial" w:hAnsi="Arial" w:cs="Arial"/>
        <w:color w:val="1F4E79" w:themeColor="accent1" w:themeShade="80"/>
      </w:rPr>
    </w:sdtEndPr>
    <w:sdtContent>
      <w:p w14:paraId="362269B9" w14:textId="3C500B3E" w:rsidR="00F27F2E" w:rsidRPr="00F27F2E" w:rsidRDefault="00F27F2E">
        <w:pPr>
          <w:pStyle w:val="Piedepgina"/>
          <w:jc w:val="right"/>
          <w:rPr>
            <w:rFonts w:ascii="Arial" w:hAnsi="Arial" w:cs="Arial"/>
            <w:color w:val="1F4E79" w:themeColor="accent1" w:themeShade="80"/>
          </w:rPr>
        </w:pPr>
        <w:r w:rsidRPr="00F27F2E">
          <w:rPr>
            <w:rFonts w:ascii="Arial" w:hAnsi="Arial" w:cs="Arial"/>
            <w:color w:val="1F4E79" w:themeColor="accent1" w:themeShade="80"/>
          </w:rPr>
          <w:fldChar w:fldCharType="begin"/>
        </w:r>
        <w:r w:rsidRPr="00F27F2E">
          <w:rPr>
            <w:rFonts w:ascii="Arial" w:hAnsi="Arial" w:cs="Arial"/>
            <w:color w:val="1F4E79" w:themeColor="accent1" w:themeShade="80"/>
          </w:rPr>
          <w:instrText>PAGE   \* MERGEFORMAT</w:instrText>
        </w:r>
        <w:r w:rsidRPr="00F27F2E">
          <w:rPr>
            <w:rFonts w:ascii="Arial" w:hAnsi="Arial" w:cs="Arial"/>
            <w:color w:val="1F4E79" w:themeColor="accent1" w:themeShade="80"/>
          </w:rPr>
          <w:fldChar w:fldCharType="separate"/>
        </w:r>
        <w:r w:rsidRPr="00F27F2E">
          <w:rPr>
            <w:rFonts w:ascii="Arial" w:hAnsi="Arial" w:cs="Arial"/>
            <w:color w:val="1F4E79" w:themeColor="accent1" w:themeShade="80"/>
            <w:lang w:val="es-ES"/>
          </w:rPr>
          <w:t>2</w:t>
        </w:r>
        <w:r w:rsidRPr="00F27F2E">
          <w:rPr>
            <w:rFonts w:ascii="Arial" w:hAnsi="Arial" w:cs="Arial"/>
            <w:color w:val="1F4E79" w:themeColor="accent1" w:themeShade="80"/>
          </w:rPr>
          <w:fldChar w:fldCharType="end"/>
        </w:r>
      </w:p>
    </w:sdtContent>
  </w:sdt>
  <w:p w14:paraId="325FCBD1" w14:textId="77777777" w:rsidR="00355223" w:rsidRPr="00355223" w:rsidRDefault="00355223" w:rsidP="00355223">
    <w:pPr>
      <w:pStyle w:val="Piedepgina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ABD7" w14:textId="77777777" w:rsidR="00930071" w:rsidRDefault="00930071" w:rsidP="003E2834">
      <w:pPr>
        <w:spacing w:after="0" w:line="240" w:lineRule="auto"/>
      </w:pPr>
      <w:r>
        <w:separator/>
      </w:r>
    </w:p>
  </w:footnote>
  <w:footnote w:type="continuationSeparator" w:id="0">
    <w:p w14:paraId="614C9D63" w14:textId="77777777" w:rsidR="00930071" w:rsidRDefault="00930071" w:rsidP="003E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E50B" w14:textId="77777777" w:rsidR="00B17A5B" w:rsidRDefault="00B17A5B" w:rsidP="00B17A5B">
    <w:pPr>
      <w:pStyle w:val="Encabezado"/>
      <w:jc w:val="center"/>
      <w:rPr>
        <w:rFonts w:ascii="Arial" w:eastAsia="Arial" w:hAnsi="Arial" w:cs="Arial"/>
        <w:b/>
        <w:color w:val="1F4E79" w:themeColor="accent1" w:themeShade="80"/>
        <w:sz w:val="26"/>
        <w:szCs w:val="26"/>
        <w:lang w:eastAsia="es-CO"/>
      </w:rPr>
    </w:pPr>
  </w:p>
  <w:p w14:paraId="1ABBF7FC" w14:textId="64A151B1" w:rsidR="00B17A5B" w:rsidRDefault="00B17A5B" w:rsidP="00B17A5B">
    <w:pPr>
      <w:pStyle w:val="Encabezado"/>
      <w:jc w:val="center"/>
    </w:pPr>
    <w:r>
      <w:rPr>
        <w:rFonts w:ascii="Arial" w:eastAsia="Arial" w:hAnsi="Arial" w:cs="Arial"/>
        <w:b/>
        <w:color w:val="1F4E79" w:themeColor="accent1" w:themeShade="80"/>
        <w:sz w:val="26"/>
        <w:szCs w:val="26"/>
        <w:lang w:eastAsia="es-CO"/>
      </w:rPr>
      <w:t>ACUERDO DE MANDATO COMERCIAL</w:t>
    </w:r>
  </w:p>
  <w:p w14:paraId="73E1AFE4" w14:textId="4F863D13" w:rsidR="003E2834" w:rsidRDefault="003E28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1A0"/>
    <w:multiLevelType w:val="multilevel"/>
    <w:tmpl w:val="2D964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B67C7D"/>
    <w:multiLevelType w:val="hybridMultilevel"/>
    <w:tmpl w:val="8C621E9C"/>
    <w:lvl w:ilvl="0" w:tplc="A12CB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0F5"/>
    <w:multiLevelType w:val="hybridMultilevel"/>
    <w:tmpl w:val="93D24366"/>
    <w:lvl w:ilvl="0" w:tplc="B290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F20DB"/>
    <w:multiLevelType w:val="hybridMultilevel"/>
    <w:tmpl w:val="537C44F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3E45"/>
    <w:multiLevelType w:val="multilevel"/>
    <w:tmpl w:val="7B5CE1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9B36CC"/>
    <w:multiLevelType w:val="hybridMultilevel"/>
    <w:tmpl w:val="8AA2C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2EE8"/>
    <w:multiLevelType w:val="hybridMultilevel"/>
    <w:tmpl w:val="D1DEE5CC"/>
    <w:lvl w:ilvl="0" w:tplc="9E84C89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66AB"/>
    <w:multiLevelType w:val="hybridMultilevel"/>
    <w:tmpl w:val="D6AAF1FA"/>
    <w:lvl w:ilvl="0" w:tplc="1D4EC47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42033"/>
    <w:multiLevelType w:val="hybridMultilevel"/>
    <w:tmpl w:val="D2A6DE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353B2"/>
    <w:multiLevelType w:val="hybridMultilevel"/>
    <w:tmpl w:val="28F6C52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F25D62"/>
    <w:multiLevelType w:val="hybridMultilevel"/>
    <w:tmpl w:val="E26A9DE6"/>
    <w:lvl w:ilvl="0" w:tplc="FD2AC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65E7F"/>
    <w:multiLevelType w:val="hybridMultilevel"/>
    <w:tmpl w:val="6E6EC996"/>
    <w:lvl w:ilvl="0" w:tplc="BF1654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A84920"/>
    <w:multiLevelType w:val="hybridMultilevel"/>
    <w:tmpl w:val="D30AC87C"/>
    <w:lvl w:ilvl="0" w:tplc="4204086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F374C5"/>
    <w:multiLevelType w:val="hybridMultilevel"/>
    <w:tmpl w:val="BBEA8D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2EB3"/>
    <w:multiLevelType w:val="multilevel"/>
    <w:tmpl w:val="7B5CE1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A304619"/>
    <w:multiLevelType w:val="hybridMultilevel"/>
    <w:tmpl w:val="EFE6F78E"/>
    <w:lvl w:ilvl="0" w:tplc="BD32C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5DDD"/>
    <w:multiLevelType w:val="hybridMultilevel"/>
    <w:tmpl w:val="B1FCB5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E1472B"/>
    <w:multiLevelType w:val="hybridMultilevel"/>
    <w:tmpl w:val="1ED644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5F236C"/>
    <w:multiLevelType w:val="hybridMultilevel"/>
    <w:tmpl w:val="25E2D0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C2B9E"/>
    <w:multiLevelType w:val="hybridMultilevel"/>
    <w:tmpl w:val="C096F446"/>
    <w:lvl w:ilvl="0" w:tplc="A9662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3457C"/>
    <w:multiLevelType w:val="hybridMultilevel"/>
    <w:tmpl w:val="668213DE"/>
    <w:lvl w:ilvl="0" w:tplc="553A10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946E30"/>
    <w:multiLevelType w:val="hybridMultilevel"/>
    <w:tmpl w:val="55F61C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561C9"/>
    <w:multiLevelType w:val="hybridMultilevel"/>
    <w:tmpl w:val="B186FD88"/>
    <w:lvl w:ilvl="0" w:tplc="03042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E6C55"/>
    <w:multiLevelType w:val="hybridMultilevel"/>
    <w:tmpl w:val="A5842E6A"/>
    <w:lvl w:ilvl="0" w:tplc="8A1A99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24B42"/>
    <w:multiLevelType w:val="hybridMultilevel"/>
    <w:tmpl w:val="B92688BC"/>
    <w:lvl w:ilvl="0" w:tplc="869689B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813E0F"/>
    <w:multiLevelType w:val="hybridMultilevel"/>
    <w:tmpl w:val="C054ECAA"/>
    <w:lvl w:ilvl="0" w:tplc="2198223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ED0B3D"/>
    <w:multiLevelType w:val="hybridMultilevel"/>
    <w:tmpl w:val="850490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D35CF11A">
      <w:start w:val="1"/>
      <w:numFmt w:val="decimal"/>
      <w:lvlText w:val="%2)"/>
      <w:lvlJc w:val="left"/>
      <w:pPr>
        <w:ind w:left="2625" w:hanging="19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791F0E"/>
    <w:multiLevelType w:val="hybridMultilevel"/>
    <w:tmpl w:val="A5842E6A"/>
    <w:lvl w:ilvl="0" w:tplc="8A1A99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23722"/>
    <w:multiLevelType w:val="hybridMultilevel"/>
    <w:tmpl w:val="A9A6D43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7F75FD"/>
    <w:multiLevelType w:val="hybridMultilevel"/>
    <w:tmpl w:val="12DCEB7A"/>
    <w:lvl w:ilvl="0" w:tplc="28C43D1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26"/>
  </w:num>
  <w:num w:numId="4">
    <w:abstractNumId w:val="17"/>
  </w:num>
  <w:num w:numId="5">
    <w:abstractNumId w:val="9"/>
  </w:num>
  <w:num w:numId="6">
    <w:abstractNumId w:val="20"/>
  </w:num>
  <w:num w:numId="7">
    <w:abstractNumId w:val="6"/>
  </w:num>
  <w:num w:numId="8">
    <w:abstractNumId w:val="11"/>
  </w:num>
  <w:num w:numId="9">
    <w:abstractNumId w:val="29"/>
  </w:num>
  <w:num w:numId="10">
    <w:abstractNumId w:val="24"/>
  </w:num>
  <w:num w:numId="11">
    <w:abstractNumId w:val="25"/>
  </w:num>
  <w:num w:numId="12">
    <w:abstractNumId w:val="28"/>
  </w:num>
  <w:num w:numId="13">
    <w:abstractNumId w:val="7"/>
  </w:num>
  <w:num w:numId="14">
    <w:abstractNumId w:val="12"/>
  </w:num>
  <w:num w:numId="15">
    <w:abstractNumId w:val="23"/>
  </w:num>
  <w:num w:numId="16">
    <w:abstractNumId w:val="27"/>
  </w:num>
  <w:num w:numId="17">
    <w:abstractNumId w:val="0"/>
  </w:num>
  <w:num w:numId="18">
    <w:abstractNumId w:val="1"/>
  </w:num>
  <w:num w:numId="19">
    <w:abstractNumId w:val="13"/>
  </w:num>
  <w:num w:numId="20">
    <w:abstractNumId w:val="8"/>
  </w:num>
  <w:num w:numId="21">
    <w:abstractNumId w:val="14"/>
  </w:num>
  <w:num w:numId="22">
    <w:abstractNumId w:val="4"/>
  </w:num>
  <w:num w:numId="23">
    <w:abstractNumId w:val="5"/>
  </w:num>
  <w:num w:numId="24">
    <w:abstractNumId w:val="10"/>
  </w:num>
  <w:num w:numId="25">
    <w:abstractNumId w:val="21"/>
  </w:num>
  <w:num w:numId="26">
    <w:abstractNumId w:val="3"/>
  </w:num>
  <w:num w:numId="27">
    <w:abstractNumId w:val="15"/>
  </w:num>
  <w:num w:numId="28">
    <w:abstractNumId w:val="2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34"/>
    <w:rsid w:val="00014FB0"/>
    <w:rsid w:val="00016F64"/>
    <w:rsid w:val="00034402"/>
    <w:rsid w:val="00055647"/>
    <w:rsid w:val="000716FC"/>
    <w:rsid w:val="00095FF4"/>
    <w:rsid w:val="000A10FA"/>
    <w:rsid w:val="000A1B27"/>
    <w:rsid w:val="000A6331"/>
    <w:rsid w:val="000A6BCC"/>
    <w:rsid w:val="000B7FE3"/>
    <w:rsid w:val="000C7756"/>
    <w:rsid w:val="00107E24"/>
    <w:rsid w:val="001370AF"/>
    <w:rsid w:val="001468B0"/>
    <w:rsid w:val="00185C39"/>
    <w:rsid w:val="0018664E"/>
    <w:rsid w:val="00193665"/>
    <w:rsid w:val="001B5A22"/>
    <w:rsid w:val="001F4D68"/>
    <w:rsid w:val="001F5185"/>
    <w:rsid w:val="001F5560"/>
    <w:rsid w:val="001F5886"/>
    <w:rsid w:val="00201016"/>
    <w:rsid w:val="00203797"/>
    <w:rsid w:val="002225C6"/>
    <w:rsid w:val="002376E0"/>
    <w:rsid w:val="00241094"/>
    <w:rsid w:val="00264864"/>
    <w:rsid w:val="002804AF"/>
    <w:rsid w:val="00291549"/>
    <w:rsid w:val="0029391B"/>
    <w:rsid w:val="002958E0"/>
    <w:rsid w:val="002A0AFB"/>
    <w:rsid w:val="002B4944"/>
    <w:rsid w:val="002B6E8D"/>
    <w:rsid w:val="002D13F0"/>
    <w:rsid w:val="002D5348"/>
    <w:rsid w:val="002E17F0"/>
    <w:rsid w:val="00307D4D"/>
    <w:rsid w:val="0031642F"/>
    <w:rsid w:val="00317A33"/>
    <w:rsid w:val="00343720"/>
    <w:rsid w:val="00347B61"/>
    <w:rsid w:val="00354DC7"/>
    <w:rsid w:val="00355223"/>
    <w:rsid w:val="0037539B"/>
    <w:rsid w:val="003901E5"/>
    <w:rsid w:val="003A240D"/>
    <w:rsid w:val="003B6953"/>
    <w:rsid w:val="003D7DA3"/>
    <w:rsid w:val="003E2834"/>
    <w:rsid w:val="00400014"/>
    <w:rsid w:val="004321D7"/>
    <w:rsid w:val="004370BF"/>
    <w:rsid w:val="0046212B"/>
    <w:rsid w:val="00475407"/>
    <w:rsid w:val="004B251B"/>
    <w:rsid w:val="004B52E3"/>
    <w:rsid w:val="004C0864"/>
    <w:rsid w:val="004D3E9D"/>
    <w:rsid w:val="004E02F1"/>
    <w:rsid w:val="004E3C1C"/>
    <w:rsid w:val="004E729F"/>
    <w:rsid w:val="004F1C6D"/>
    <w:rsid w:val="004F3F28"/>
    <w:rsid w:val="004F5620"/>
    <w:rsid w:val="00504E68"/>
    <w:rsid w:val="00531A6C"/>
    <w:rsid w:val="005554E4"/>
    <w:rsid w:val="005662AD"/>
    <w:rsid w:val="005727E4"/>
    <w:rsid w:val="005736D4"/>
    <w:rsid w:val="00594B4E"/>
    <w:rsid w:val="005A1EC6"/>
    <w:rsid w:val="005A3A5A"/>
    <w:rsid w:val="005C0544"/>
    <w:rsid w:val="005C1EF0"/>
    <w:rsid w:val="005D1048"/>
    <w:rsid w:val="005E09E3"/>
    <w:rsid w:val="005E46CA"/>
    <w:rsid w:val="005E663E"/>
    <w:rsid w:val="005F4F9F"/>
    <w:rsid w:val="0063320E"/>
    <w:rsid w:val="00650C42"/>
    <w:rsid w:val="0065254A"/>
    <w:rsid w:val="006630AE"/>
    <w:rsid w:val="00671174"/>
    <w:rsid w:val="00690718"/>
    <w:rsid w:val="006930F4"/>
    <w:rsid w:val="006A2F64"/>
    <w:rsid w:val="006B0CD4"/>
    <w:rsid w:val="006B1F4E"/>
    <w:rsid w:val="006B6C34"/>
    <w:rsid w:val="006D3BD6"/>
    <w:rsid w:val="0071446B"/>
    <w:rsid w:val="00754733"/>
    <w:rsid w:val="00757A44"/>
    <w:rsid w:val="00762072"/>
    <w:rsid w:val="00795979"/>
    <w:rsid w:val="007A59EF"/>
    <w:rsid w:val="007B5A6C"/>
    <w:rsid w:val="007C0DFA"/>
    <w:rsid w:val="007C595F"/>
    <w:rsid w:val="007D518F"/>
    <w:rsid w:val="007E644E"/>
    <w:rsid w:val="00810F88"/>
    <w:rsid w:val="0081430E"/>
    <w:rsid w:val="0083336B"/>
    <w:rsid w:val="008410EF"/>
    <w:rsid w:val="00853CD4"/>
    <w:rsid w:val="0085502B"/>
    <w:rsid w:val="008550BF"/>
    <w:rsid w:val="008674DA"/>
    <w:rsid w:val="008676A0"/>
    <w:rsid w:val="00875A32"/>
    <w:rsid w:val="0089504F"/>
    <w:rsid w:val="008D6E10"/>
    <w:rsid w:val="008E1337"/>
    <w:rsid w:val="008E1819"/>
    <w:rsid w:val="008F643D"/>
    <w:rsid w:val="00906AAF"/>
    <w:rsid w:val="00930071"/>
    <w:rsid w:val="00930206"/>
    <w:rsid w:val="009473F1"/>
    <w:rsid w:val="00954A8F"/>
    <w:rsid w:val="00963DD5"/>
    <w:rsid w:val="009729FE"/>
    <w:rsid w:val="009959DE"/>
    <w:rsid w:val="009976F9"/>
    <w:rsid w:val="009A7598"/>
    <w:rsid w:val="009B4C46"/>
    <w:rsid w:val="009B6CA7"/>
    <w:rsid w:val="009C2EDB"/>
    <w:rsid w:val="009E3277"/>
    <w:rsid w:val="00A10F6C"/>
    <w:rsid w:val="00A20F69"/>
    <w:rsid w:val="00A34E14"/>
    <w:rsid w:val="00A37E1B"/>
    <w:rsid w:val="00A46600"/>
    <w:rsid w:val="00A51949"/>
    <w:rsid w:val="00A63CF5"/>
    <w:rsid w:val="00A71B1B"/>
    <w:rsid w:val="00A8130B"/>
    <w:rsid w:val="00A858A4"/>
    <w:rsid w:val="00A86BD8"/>
    <w:rsid w:val="00AC3230"/>
    <w:rsid w:val="00AD0161"/>
    <w:rsid w:val="00AE29BD"/>
    <w:rsid w:val="00AF03ED"/>
    <w:rsid w:val="00AF7E3E"/>
    <w:rsid w:val="00B14389"/>
    <w:rsid w:val="00B145BC"/>
    <w:rsid w:val="00B17A5B"/>
    <w:rsid w:val="00B217D8"/>
    <w:rsid w:val="00B37E77"/>
    <w:rsid w:val="00B54929"/>
    <w:rsid w:val="00B65919"/>
    <w:rsid w:val="00B6704B"/>
    <w:rsid w:val="00B858EC"/>
    <w:rsid w:val="00B8651C"/>
    <w:rsid w:val="00B929F0"/>
    <w:rsid w:val="00B938A1"/>
    <w:rsid w:val="00BB6613"/>
    <w:rsid w:val="00BC54B4"/>
    <w:rsid w:val="00BC65C9"/>
    <w:rsid w:val="00BC7734"/>
    <w:rsid w:val="00BE11F5"/>
    <w:rsid w:val="00BE72E4"/>
    <w:rsid w:val="00C137DE"/>
    <w:rsid w:val="00C35F7C"/>
    <w:rsid w:val="00C5021B"/>
    <w:rsid w:val="00C546FE"/>
    <w:rsid w:val="00C7150D"/>
    <w:rsid w:val="00C8093E"/>
    <w:rsid w:val="00C839A0"/>
    <w:rsid w:val="00C852CD"/>
    <w:rsid w:val="00C9077A"/>
    <w:rsid w:val="00C920D8"/>
    <w:rsid w:val="00CF3461"/>
    <w:rsid w:val="00D00017"/>
    <w:rsid w:val="00D017D0"/>
    <w:rsid w:val="00D05D3B"/>
    <w:rsid w:val="00D65B37"/>
    <w:rsid w:val="00D775F4"/>
    <w:rsid w:val="00DA5ABD"/>
    <w:rsid w:val="00DB2347"/>
    <w:rsid w:val="00DD195D"/>
    <w:rsid w:val="00DD2235"/>
    <w:rsid w:val="00DE105A"/>
    <w:rsid w:val="00E048F0"/>
    <w:rsid w:val="00E23E88"/>
    <w:rsid w:val="00E269F5"/>
    <w:rsid w:val="00E30EB0"/>
    <w:rsid w:val="00E3242D"/>
    <w:rsid w:val="00E43294"/>
    <w:rsid w:val="00E546CB"/>
    <w:rsid w:val="00E847DA"/>
    <w:rsid w:val="00E93857"/>
    <w:rsid w:val="00EE2BC8"/>
    <w:rsid w:val="00F041C6"/>
    <w:rsid w:val="00F0532E"/>
    <w:rsid w:val="00F17255"/>
    <w:rsid w:val="00F27F2E"/>
    <w:rsid w:val="00F349E3"/>
    <w:rsid w:val="00F62305"/>
    <w:rsid w:val="00F669C4"/>
    <w:rsid w:val="00F72BA5"/>
    <w:rsid w:val="00F91986"/>
    <w:rsid w:val="00FD2F19"/>
    <w:rsid w:val="00FD3071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CE0D229"/>
  <w15:chartTrackingRefBased/>
  <w15:docId w15:val="{54817FA6-2B79-434D-92BF-CD57A577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834"/>
  </w:style>
  <w:style w:type="paragraph" w:styleId="Piedepgina">
    <w:name w:val="footer"/>
    <w:basedOn w:val="Normal"/>
    <w:link w:val="PiedepginaCar"/>
    <w:uiPriority w:val="99"/>
    <w:unhideWhenUsed/>
    <w:rsid w:val="003E2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834"/>
  </w:style>
  <w:style w:type="table" w:styleId="Tablaconcuadrcula">
    <w:name w:val="Table Grid"/>
    <w:basedOn w:val="Tablanormal"/>
    <w:uiPriority w:val="39"/>
    <w:rsid w:val="003E283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0AF"/>
    <w:pPr>
      <w:ind w:left="720"/>
      <w:contextualSpacing/>
    </w:pPr>
    <w:rPr>
      <w:rFonts w:eastAsiaTheme="minorEastAsia"/>
      <w:lang w:eastAsia="ja-JP"/>
    </w:rPr>
  </w:style>
  <w:style w:type="character" w:styleId="Hipervnculo">
    <w:name w:val="Hyperlink"/>
    <w:basedOn w:val="Fuentedeprrafopredeter"/>
    <w:uiPriority w:val="99"/>
    <w:unhideWhenUsed/>
    <w:rsid w:val="00DD223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016"/>
    <w:rPr>
      <w:rFonts w:ascii="Segoe UI" w:hAnsi="Segoe UI" w:cs="Segoe UI"/>
      <w:sz w:val="18"/>
      <w:szCs w:val="18"/>
    </w:rPr>
  </w:style>
  <w:style w:type="table" w:styleId="Tablaconcuadrcula1clara-nfasis1">
    <w:name w:val="Grid Table 1 Light Accent 1"/>
    <w:basedOn w:val="Tablanormal"/>
    <w:uiPriority w:val="46"/>
    <w:rsid w:val="00C9077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907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B14389"/>
    <w:pPr>
      <w:spacing w:after="0" w:line="240" w:lineRule="auto"/>
    </w:pPr>
    <w:rPr>
      <w:rFonts w:eastAsiaTheme="minorEastAsia"/>
      <w:sz w:val="24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3A24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A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4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81430E"/>
    <w:pPr>
      <w:spacing w:after="0" w:line="240" w:lineRule="auto"/>
    </w:pPr>
    <w:rPr>
      <w:rFonts w:eastAsiaTheme="minorEastAsia"/>
      <w:sz w:val="24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50D"/>
    <w:pPr>
      <w:spacing w:after="160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50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5A3657BF85C4A9DCD226FFCD20439" ma:contentTypeVersion="6" ma:contentTypeDescription="Crear nuevo documento." ma:contentTypeScope="" ma:versionID="90cc971445c98a7030051beefb1ebc19">
  <xsd:schema xmlns:xsd="http://www.w3.org/2001/XMLSchema" xmlns:xs="http://www.w3.org/2001/XMLSchema" xmlns:p="http://schemas.microsoft.com/office/2006/metadata/properties" xmlns:ns2="e6489357-3d8d-48f2-90ad-da39ea0e3d14" targetNamespace="http://schemas.microsoft.com/office/2006/metadata/properties" ma:root="true" ma:fieldsID="1341b84033e21b3ccfcb627b5d8f78a6" ns2:_="">
    <xsd:import namespace="e6489357-3d8d-48f2-90ad-da39ea0e3d14"/>
    <xsd:element name="properties">
      <xsd:complexType>
        <xsd:sequence>
          <xsd:element name="documentManagement">
            <xsd:complexType>
              <xsd:all>
                <xsd:element ref="ns2:Categoria" minOccurs="0"/>
                <xsd:element ref="ns2:Etiquetas" minOccurs="0"/>
                <xsd:element ref="ns2:TipoDocumento" minOccurs="0"/>
                <xsd:element ref="ns2:FechaPublic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9357-3d8d-48f2-90ad-da39ea0e3d14" elementFormDefault="qualified">
    <xsd:import namespace="http://schemas.microsoft.com/office/2006/documentManagement/types"/>
    <xsd:import namespace="http://schemas.microsoft.com/office/infopath/2007/PartnerControls"/>
    <xsd:element name="Categoria" ma:index="8" nillable="true" ma:displayName="Categoria" ma:default="Talento humano" ma:format="Dropdown" ma:internalName="Categoria">
      <xsd:simpleType>
        <xsd:restriction base="dms:Choice">
          <xsd:enumeration value="Talento humano"/>
          <xsd:enumeration value="Gestión financiera"/>
          <xsd:enumeration value="Mercado"/>
          <xsd:enumeration value="Legal"/>
          <xsd:enumeration value="Tecnología y transformación digital"/>
          <xsd:enumeration value="Modelo operativo"/>
          <xsd:enumeration value="Internacionalización"/>
          <xsd:enumeration value="Ambiental"/>
        </xsd:restriction>
      </xsd:simpleType>
    </xsd:element>
    <xsd:element name="Etiquetas" ma:index="9" nillable="true" ma:displayName="Etiquetas" ma:list="{0f48f3e4-1ae8-441c-9fc4-3954c7521d7d}" ma:internalName="Etiqueta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Documento" ma:index="10" nillable="true" ma:displayName="TipoDocumento" ma:default="Presentación" ma:format="Dropdown" ma:internalName="TipoDocumento">
      <xsd:simpleType>
        <xsd:restriction base="dms:Choice">
          <xsd:enumeration value="Presentación"/>
          <xsd:enumeration value="Documento"/>
          <xsd:enumeration value="Infográfico"/>
          <xsd:enumeration value="Otro"/>
        </xsd:restriction>
      </xsd:simpleType>
    </xsd:element>
    <xsd:element name="FechaPublicacion" ma:index="11" nillable="true" ma:displayName="FechaPublicacion" ma:format="DateOnly" ma:internalName="FechaPublicac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 xmlns="e6489357-3d8d-48f2-90ad-da39ea0e3d14">2023-01-18T05:00:00+00:00</FechaPublicacion>
    <Categoria xmlns="e6489357-3d8d-48f2-90ad-da39ea0e3d14">Legal</Categoria>
    <TipoDocumento xmlns="e6489357-3d8d-48f2-90ad-da39ea0e3d14">Documento</TipoDocumento>
    <Etiquetas xmlns="e6489357-3d8d-48f2-90ad-da39ea0e3d14"/>
  </documentManagement>
</p:properties>
</file>

<file path=customXml/itemProps1.xml><?xml version="1.0" encoding="utf-8"?>
<ds:datastoreItem xmlns:ds="http://schemas.openxmlformats.org/officeDocument/2006/customXml" ds:itemID="{5C212ED3-4C02-4726-A684-7E83FF66C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FFC43-3444-4003-8B0A-EF58367D2318}"/>
</file>

<file path=customXml/itemProps3.xml><?xml version="1.0" encoding="utf-8"?>
<ds:datastoreItem xmlns:ds="http://schemas.openxmlformats.org/officeDocument/2006/customXml" ds:itemID="{331B03B7-5E27-4EEE-BCEA-4039669E6F35}"/>
</file>

<file path=customXml/itemProps4.xml><?xml version="1.0" encoding="utf-8"?>
<ds:datastoreItem xmlns:ds="http://schemas.openxmlformats.org/officeDocument/2006/customXml" ds:itemID="{A522928D-8EDB-46F2-9D58-DF206063F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Suramericana S.A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Carta incumplimiento de pago</dc:title>
  <dc:subject/>
  <dc:creator>Jhonatan Gomez Perez</dc:creator>
  <cp:keywords/>
  <dc:description/>
  <cp:lastModifiedBy>Maria Alejandra Bernal Rodriguez</cp:lastModifiedBy>
  <cp:revision>60</cp:revision>
  <cp:lastPrinted>2018-01-15T15:20:00Z</cp:lastPrinted>
  <dcterms:created xsi:type="dcterms:W3CDTF">2020-04-23T20:42:00Z</dcterms:created>
  <dcterms:modified xsi:type="dcterms:W3CDTF">2022-12-07T15:56:00Z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0x0101000885A3657BF85C4A9DCD226FFCD20439</vt:lpwstr>
  </property>
</Properties>
</file>